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BF6" w14:textId="7E53C9E4" w:rsidR="003E5591" w:rsidRPr="00694FCA" w:rsidRDefault="003E5591" w:rsidP="003E5591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694FCA">
        <w:rPr>
          <w:rFonts w:eastAsia="MS Mincho" w:cstheme="minorHAnsi"/>
          <w:b/>
          <w:sz w:val="24"/>
          <w:szCs w:val="24"/>
        </w:rPr>
        <w:t>3GPP TSG-RAN WG4 Meeting # 107</w:t>
      </w:r>
      <w:r w:rsidRPr="00694FCA">
        <w:rPr>
          <w:rFonts w:eastAsia="MS Mincho" w:cstheme="minorHAnsi"/>
          <w:b/>
          <w:sz w:val="24"/>
          <w:szCs w:val="24"/>
        </w:rPr>
        <w:tab/>
        <w:t>R4-</w:t>
      </w:r>
      <w:r w:rsidR="008A52C0" w:rsidRPr="008A52C0">
        <w:rPr>
          <w:rFonts w:eastAsia="MS Mincho" w:cstheme="minorHAnsi"/>
          <w:b/>
          <w:sz w:val="24"/>
          <w:szCs w:val="24"/>
        </w:rPr>
        <w:t>2309666</w:t>
      </w:r>
    </w:p>
    <w:p w14:paraId="31E346EE" w14:textId="1B73D24D" w:rsidR="00024141" w:rsidRPr="00694FCA" w:rsidRDefault="003E5591" w:rsidP="003E5591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  <w:r w:rsidRPr="00694FCA">
        <w:rPr>
          <w:rFonts w:eastAsia="MS Mincho" w:cstheme="minorHAnsi"/>
          <w:b/>
          <w:sz w:val="24"/>
          <w:szCs w:val="24"/>
        </w:rPr>
        <w:t>Incheon, KR, May 22 – May 26, 2023</w:t>
      </w:r>
      <w:r w:rsidRPr="00694FCA">
        <w:rPr>
          <w:rFonts w:eastAsia="MS Mincho" w:cstheme="minorHAnsi"/>
          <w:b/>
          <w:sz w:val="24"/>
          <w:szCs w:val="24"/>
        </w:rPr>
        <w:br/>
      </w:r>
    </w:p>
    <w:p w14:paraId="198D845E" w14:textId="77777777" w:rsidR="00FB277C" w:rsidRPr="00694FCA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694FCA">
        <w:rPr>
          <w:rFonts w:eastAsia="Times New Roman" w:cstheme="minorHAnsi"/>
          <w:b/>
          <w:sz w:val="24"/>
        </w:rPr>
        <w:t xml:space="preserve">Source: </w:t>
      </w:r>
      <w:r w:rsidRPr="00694FCA">
        <w:rPr>
          <w:rFonts w:eastAsia="Times New Roman" w:cstheme="minorHAnsi"/>
          <w:b/>
          <w:sz w:val="24"/>
        </w:rPr>
        <w:tab/>
      </w:r>
      <w:r w:rsidRPr="00694FCA">
        <w:rPr>
          <w:rFonts w:eastAsia="Times New Roman" w:cstheme="minorHAnsi"/>
          <w:sz w:val="24"/>
        </w:rPr>
        <w:t>Qualcomm Incorporated</w:t>
      </w:r>
    </w:p>
    <w:p w14:paraId="651BD97F" w14:textId="035A4CAD" w:rsidR="00FB277C" w:rsidRPr="00694FCA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694FCA">
        <w:rPr>
          <w:rFonts w:eastAsia="Times New Roman" w:cstheme="minorHAnsi"/>
          <w:b/>
          <w:sz w:val="24"/>
        </w:rPr>
        <w:t>Title:</w:t>
      </w:r>
      <w:r w:rsidRPr="00694FCA">
        <w:rPr>
          <w:rFonts w:eastAsia="Times New Roman" w:cstheme="minorHAnsi"/>
          <w:sz w:val="24"/>
        </w:rPr>
        <w:t xml:space="preserve"> </w:t>
      </w:r>
      <w:r w:rsidRPr="00694FCA">
        <w:rPr>
          <w:rFonts w:eastAsia="Times New Roman" w:cstheme="minorHAnsi"/>
          <w:sz w:val="24"/>
        </w:rPr>
        <w:tab/>
      </w:r>
      <w:r w:rsidR="0075489A" w:rsidRPr="00694FCA">
        <w:rPr>
          <w:rFonts w:eastAsia="Times New Roman" w:cstheme="minorHAnsi"/>
          <w:sz w:val="24"/>
        </w:rPr>
        <w:t xml:space="preserve">ATG </w:t>
      </w:r>
      <w:r w:rsidR="00FB4719" w:rsidRPr="00694FCA">
        <w:rPr>
          <w:rFonts w:eastAsia="Times New Roman" w:cstheme="minorHAnsi"/>
          <w:sz w:val="24"/>
        </w:rPr>
        <w:t xml:space="preserve">UE Demod </w:t>
      </w:r>
    </w:p>
    <w:p w14:paraId="7873C4AF" w14:textId="2D39B3F5" w:rsidR="00FB277C" w:rsidRPr="00694FCA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694FCA">
        <w:rPr>
          <w:rFonts w:eastAsia="Times New Roman" w:cstheme="minorHAnsi"/>
          <w:b/>
          <w:sz w:val="24"/>
        </w:rPr>
        <w:t>Agenda item:</w:t>
      </w:r>
      <w:r w:rsidRPr="00694FCA">
        <w:rPr>
          <w:rFonts w:eastAsia="Times New Roman" w:cstheme="minorHAnsi"/>
          <w:sz w:val="24"/>
        </w:rPr>
        <w:tab/>
      </w:r>
      <w:r w:rsidR="00E81B07" w:rsidRPr="00694FCA">
        <w:rPr>
          <w:rFonts w:eastAsia="Times New Roman" w:cstheme="minorHAnsi"/>
          <w:sz w:val="24"/>
        </w:rPr>
        <w:t>8.14.5.2</w:t>
      </w:r>
    </w:p>
    <w:p w14:paraId="0C4D6ED4" w14:textId="0EBD12A5" w:rsidR="00FB277C" w:rsidRPr="00694FCA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694FCA">
        <w:rPr>
          <w:rFonts w:eastAsia="Times New Roman" w:cstheme="minorHAnsi"/>
          <w:b/>
          <w:sz w:val="24"/>
        </w:rPr>
        <w:t>Document for:</w:t>
      </w:r>
      <w:r w:rsidRPr="00694FCA">
        <w:rPr>
          <w:rFonts w:eastAsia="Times New Roman" w:cstheme="minorHAnsi"/>
          <w:sz w:val="24"/>
        </w:rPr>
        <w:tab/>
      </w:r>
      <w:r w:rsidR="008A7CAD" w:rsidRPr="00694FCA">
        <w:rPr>
          <w:rFonts w:eastAsia="Times New Roman" w:cstheme="minorHAnsi"/>
          <w:sz w:val="24"/>
        </w:rPr>
        <w:t>Discussion</w:t>
      </w:r>
    </w:p>
    <w:p w14:paraId="11A17B3B" w14:textId="33C65E9A" w:rsidR="00FB277C" w:rsidRPr="00694FCA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694FCA">
        <w:rPr>
          <w:rFonts w:eastAsia="Times New Roman" w:cstheme="minorHAnsi"/>
          <w:sz w:val="36"/>
          <w:szCs w:val="20"/>
        </w:rPr>
        <w:t>Introduction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Obs \h \r0 </w:instrTex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\h \r0</w:instrText>
      </w:r>
      <w:r w:rsidRPr="00694FCA">
        <w:rPr>
          <w:rFonts w:eastAsia="Times New Roman" w:cstheme="minorHAnsi"/>
          <w:b/>
          <w:bCs/>
        </w:rPr>
        <w:fldChar w:fldCharType="end"/>
      </w:r>
    </w:p>
    <w:p w14:paraId="34F44471" w14:textId="6D3C8D72" w:rsidR="005B6639" w:rsidRPr="00694FCA" w:rsidRDefault="005B6639" w:rsidP="005B6639">
      <w:pPr>
        <w:spacing w:line="256" w:lineRule="auto"/>
        <w:rPr>
          <w:rFonts w:eastAsia="Times New Roman" w:cstheme="minorHAnsi"/>
        </w:rPr>
      </w:pPr>
      <w:r w:rsidRPr="00694FCA">
        <w:rPr>
          <w:rFonts w:eastAsia="Times New Roman" w:cstheme="minorHAnsi"/>
        </w:rPr>
        <w:t xml:space="preserve">In this paper, we share our considerations on the items on UE Demodulation requirements with </w:t>
      </w:r>
      <w:r w:rsidRPr="00694FCA">
        <w:rPr>
          <w:rFonts w:eastAsia="Times New Roman" w:cstheme="minorHAnsi"/>
        </w:rPr>
        <w:t>ATG</w:t>
      </w:r>
      <w:r w:rsidRPr="00694FCA">
        <w:rPr>
          <w:rFonts w:eastAsia="Times New Roman" w:cstheme="minorHAnsi"/>
        </w:rPr>
        <w:t>, based on the WF [1].</w:t>
      </w:r>
    </w:p>
    <w:p w14:paraId="48A3F636" w14:textId="5C133CDD" w:rsidR="006803E5" w:rsidRPr="00694FCA" w:rsidRDefault="00694FCA" w:rsidP="00694FCA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ATG UE Demod requirements a</w:t>
      </w:r>
      <w:r w:rsidR="006803E5" w:rsidRPr="00694FCA">
        <w:rPr>
          <w:rFonts w:asciiTheme="minorHAnsi" w:hAnsiTheme="minorHAnsi" w:cstheme="minorHAnsi"/>
        </w:rPr>
        <w:t xml:space="preserve">pplicability </w:t>
      </w:r>
    </w:p>
    <w:p w14:paraId="7C87BA22" w14:textId="6E7DA990" w:rsidR="006803E5" w:rsidRPr="00694FCA" w:rsidRDefault="006803E5" w:rsidP="008A3363">
      <w:pPr>
        <w:rPr>
          <w:rFonts w:cstheme="minorHAnsi"/>
          <w:lang w:val="en-GB"/>
        </w:rPr>
      </w:pPr>
      <w:r w:rsidRPr="00694FCA">
        <w:rPr>
          <w:rFonts w:cstheme="minorHAnsi"/>
          <w:lang w:val="en-GB"/>
        </w:rPr>
        <w:t xml:space="preserve">To </w:t>
      </w:r>
      <w:r w:rsidR="005155A0" w:rsidRPr="00694FCA">
        <w:rPr>
          <w:rFonts w:cstheme="minorHAnsi"/>
          <w:lang w:val="en-GB"/>
        </w:rPr>
        <w:t xml:space="preserve">decide </w:t>
      </w:r>
      <w:r w:rsidRPr="00694FCA">
        <w:rPr>
          <w:rFonts w:cstheme="minorHAnsi"/>
          <w:lang w:val="en-GB"/>
        </w:rPr>
        <w:t xml:space="preserve">whether or not newly introduced demodulation requirements for ATG </w:t>
      </w:r>
      <w:r w:rsidR="005155A0" w:rsidRPr="00694FCA">
        <w:rPr>
          <w:rFonts w:cstheme="minorHAnsi"/>
          <w:lang w:val="en-GB"/>
        </w:rPr>
        <w:t xml:space="preserve">apply </w:t>
      </w:r>
      <w:r w:rsidRPr="00694FCA">
        <w:rPr>
          <w:rFonts w:cstheme="minorHAnsi"/>
          <w:lang w:val="en-GB"/>
        </w:rPr>
        <w:t xml:space="preserve">to UEs under test, it is our view that RAN4 should consider </w:t>
      </w:r>
      <w:r w:rsidR="00B862E0" w:rsidRPr="00694FCA">
        <w:rPr>
          <w:rFonts w:cstheme="minorHAnsi"/>
          <w:lang w:val="en-GB"/>
        </w:rPr>
        <w:t xml:space="preserve">the outcome of the discussions in RF related to ATG capabilities, and whether it’s possible </w:t>
      </w:r>
      <w:r w:rsidR="0040464E" w:rsidRPr="00694FCA">
        <w:rPr>
          <w:rFonts w:cstheme="minorHAnsi"/>
          <w:lang w:val="en-GB"/>
        </w:rPr>
        <w:t>to reuse</w:t>
      </w:r>
      <w:r w:rsidR="00E71097" w:rsidRPr="00694FCA">
        <w:rPr>
          <w:rFonts w:cstheme="minorHAnsi"/>
          <w:lang w:val="en-GB"/>
        </w:rPr>
        <w:t xml:space="preserve"> any capability to identify ATG </w:t>
      </w:r>
      <w:proofErr w:type="gramStart"/>
      <w:r w:rsidR="00E71097" w:rsidRPr="00694FCA">
        <w:rPr>
          <w:rFonts w:cstheme="minorHAnsi"/>
          <w:lang w:val="en-GB"/>
        </w:rPr>
        <w:t>devices</w:t>
      </w:r>
      <w:proofErr w:type="gramEnd"/>
    </w:p>
    <w:p w14:paraId="2AA8EF46" w14:textId="05ABF8CD" w:rsidR="00E71097" w:rsidRPr="00694FCA" w:rsidRDefault="00E71097" w:rsidP="00E71097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1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For the applicability of the ATG UE Demod requirements, follow ongoing discussion in RF on related ATG UE capabilities;</w:t>
      </w:r>
    </w:p>
    <w:p w14:paraId="259315DE" w14:textId="4C8745A5" w:rsidR="008A3363" w:rsidRPr="00694FCA" w:rsidRDefault="00DA320D" w:rsidP="008A3363">
      <w:pPr>
        <w:rPr>
          <w:rFonts w:cstheme="minorHAnsi"/>
          <w:lang w:val="en-GB"/>
        </w:rPr>
      </w:pPr>
      <w:r w:rsidRPr="00694FCA">
        <w:rPr>
          <w:rFonts w:cstheme="minorHAnsi"/>
          <w:lang w:val="en-GB"/>
        </w:rPr>
        <w:t xml:space="preserve">Regarding </w:t>
      </w:r>
      <w:r w:rsidR="006F53C8" w:rsidRPr="00694FCA">
        <w:rPr>
          <w:rFonts w:cstheme="minorHAnsi"/>
          <w:lang w:val="en-GB"/>
        </w:rPr>
        <w:t>the test scope, the WF in [1]</w:t>
      </w:r>
      <w:r w:rsidRPr="00694FCA">
        <w:rPr>
          <w:rFonts w:cstheme="minorHAnsi"/>
          <w:lang w:val="en-GB"/>
        </w:rPr>
        <w:t xml:space="preserve"> contains some references to NTN UEs and related channels. In our understanding and according to the WID, ATG UEs are assumed to be connected only to TN (ground-based BS). To that end, we don’t see a motivation to </w:t>
      </w:r>
      <w:r w:rsidR="006803E5" w:rsidRPr="00694FCA">
        <w:rPr>
          <w:rFonts w:cstheme="minorHAnsi"/>
          <w:lang w:val="en-GB"/>
        </w:rPr>
        <w:t xml:space="preserve">introduce any applicability rule between the two </w:t>
      </w:r>
      <w:proofErr w:type="gramStart"/>
      <w:r w:rsidR="006803E5" w:rsidRPr="00694FCA">
        <w:rPr>
          <w:rFonts w:cstheme="minorHAnsi"/>
          <w:lang w:val="en-GB"/>
        </w:rPr>
        <w:t>features</w:t>
      </w:r>
      <w:proofErr w:type="gramEnd"/>
    </w:p>
    <w:p w14:paraId="78137B9B" w14:textId="60C5729E" w:rsidR="006803E5" w:rsidRPr="00694FCA" w:rsidRDefault="006803E5" w:rsidP="006803E5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Observation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1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According to the WID, ATG UEs only connect to ground-based BS;</w:t>
      </w:r>
    </w:p>
    <w:p w14:paraId="1E79F3A1" w14:textId="3258FA0A" w:rsidR="006803E5" w:rsidRPr="00694FCA" w:rsidRDefault="006803E5" w:rsidP="006803E5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2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Based on Observation 1, RAN4 should not introduce applicability rules for between ATG and NTN UEs;</w:t>
      </w:r>
    </w:p>
    <w:p w14:paraId="6390391E" w14:textId="77777777" w:rsidR="006803E5" w:rsidRPr="00694FCA" w:rsidRDefault="006803E5" w:rsidP="006803E5">
      <w:pPr>
        <w:rPr>
          <w:rFonts w:eastAsia="Times New Roman" w:cstheme="minorHAnsi"/>
          <w:b/>
          <w:bCs/>
        </w:rPr>
      </w:pPr>
    </w:p>
    <w:p w14:paraId="127B807B" w14:textId="797D17F6" w:rsidR="006803E5" w:rsidRPr="00694FCA" w:rsidRDefault="00C16845" w:rsidP="00694FCA">
      <w:pPr>
        <w:pStyle w:val="Heading1"/>
        <w:rPr>
          <w:rFonts w:asciiTheme="minorHAnsi" w:hAnsiTheme="minorHAnsi" w:cstheme="minorHAnsi"/>
        </w:rPr>
      </w:pPr>
      <w:r w:rsidRPr="00694FCA">
        <w:rPr>
          <w:rFonts w:asciiTheme="minorHAnsi" w:hAnsiTheme="minorHAnsi" w:cstheme="minorHAnsi"/>
        </w:rPr>
        <w:t>Test Scope</w:t>
      </w:r>
      <w:r w:rsidR="00E04708" w:rsidRPr="00694FCA">
        <w:rPr>
          <w:rFonts w:asciiTheme="minorHAnsi" w:hAnsiTheme="minorHAnsi" w:cstheme="minorHAnsi"/>
        </w:rPr>
        <w:t xml:space="preserve"> for Legacy Requirements</w:t>
      </w:r>
    </w:p>
    <w:p w14:paraId="4738D5CC" w14:textId="246192D8" w:rsidR="006803E5" w:rsidRPr="00694FCA" w:rsidRDefault="00E04708" w:rsidP="008A3363">
      <w:pPr>
        <w:rPr>
          <w:rFonts w:cstheme="minorHAnsi"/>
          <w:lang w:val="en-GB"/>
        </w:rPr>
      </w:pPr>
      <w:r w:rsidRPr="00694FCA">
        <w:rPr>
          <w:rFonts w:cstheme="minorHAnsi"/>
          <w:lang w:val="en-GB"/>
        </w:rPr>
        <w:t xml:space="preserve">In this section we are proposing how to </w:t>
      </w:r>
      <w:r w:rsidR="00854DEF" w:rsidRPr="00694FCA">
        <w:rPr>
          <w:rFonts w:cstheme="minorHAnsi"/>
          <w:lang w:val="en-GB"/>
        </w:rPr>
        <w:t>choose</w:t>
      </w:r>
      <w:r w:rsidRPr="00694FCA">
        <w:rPr>
          <w:rFonts w:cstheme="minorHAnsi"/>
          <w:lang w:val="en-GB"/>
        </w:rPr>
        <w:t xml:space="preserve"> the demodulation test scope </w:t>
      </w:r>
      <w:r w:rsidR="00854DEF" w:rsidRPr="00694FCA">
        <w:rPr>
          <w:rFonts w:cstheme="minorHAnsi"/>
          <w:lang w:val="en-GB"/>
        </w:rPr>
        <w:t xml:space="preserve">among already existing demodulation tests for </w:t>
      </w:r>
      <w:r w:rsidRPr="00694FCA">
        <w:rPr>
          <w:rFonts w:cstheme="minorHAnsi"/>
          <w:lang w:val="en-GB"/>
        </w:rPr>
        <w:t>PDSCH, PDCCH and CSF for ATG devices.</w:t>
      </w:r>
    </w:p>
    <w:p w14:paraId="7F1F413D" w14:textId="4D27E794" w:rsidR="00E04708" w:rsidRPr="00694FCA" w:rsidRDefault="00E04708" w:rsidP="00E04708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3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 xml:space="preserve">:On the applicability of legacy PDSCH and PDCCH requirements, RAN4 should select </w:t>
      </w:r>
      <w:r w:rsidRPr="00694FCA">
        <w:rPr>
          <w:rFonts w:eastAsia="Times New Roman" w:cstheme="minorHAnsi"/>
          <w:b/>
          <w:bCs/>
        </w:rPr>
        <w:t xml:space="preserve">only </w:t>
      </w:r>
      <w:r w:rsidRPr="00694FCA">
        <w:rPr>
          <w:rFonts w:eastAsia="Times New Roman" w:cstheme="minorHAnsi"/>
          <w:b/>
          <w:bCs/>
        </w:rPr>
        <w:t>a subset of legacy requirements applicable to ATG UEs;</w:t>
      </w:r>
    </w:p>
    <w:p w14:paraId="6D16B286" w14:textId="0F05DC1E" w:rsidR="00E04708" w:rsidRPr="00694FCA" w:rsidRDefault="00E04708" w:rsidP="00E04708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4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For legacy PDSCH Demod requirements applicable to ATG UEs, RAN4 to choose 1 test case per Modulation Order among the existing requirements for PDSCH Mapping Type A only, for FDD and TDD;</w:t>
      </w:r>
    </w:p>
    <w:p w14:paraId="1ACBB824" w14:textId="43B1B92E" w:rsidR="00E04708" w:rsidRPr="00694FCA" w:rsidRDefault="00E04708" w:rsidP="00E04708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5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For legacy PDSCH Demod requirements applicable to ATG UEs, RAN4 should consider Single Carrier requirements only;</w:t>
      </w:r>
    </w:p>
    <w:p w14:paraId="1464017E" w14:textId="4433A7CA" w:rsidR="00E04708" w:rsidRPr="00694FCA" w:rsidRDefault="00E04708" w:rsidP="00E04708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6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For legacy PDCCH Demod requirements applicable to ATG UEs, RAN4 to choose 1 test case per TDD and 1 test case per FDD among the existing requirements;</w:t>
      </w:r>
    </w:p>
    <w:p w14:paraId="5B99EC07" w14:textId="27E801BE" w:rsidR="00E04708" w:rsidRPr="00694FCA" w:rsidRDefault="00E04708" w:rsidP="00E04708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lastRenderedPageBreak/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7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Do not test legacy CSI reporting requirements for ATG UEs;</w:t>
      </w:r>
    </w:p>
    <w:p w14:paraId="05132414" w14:textId="77777777" w:rsidR="00E04708" w:rsidRPr="00694FCA" w:rsidRDefault="00E04708" w:rsidP="008A3363">
      <w:pPr>
        <w:rPr>
          <w:rFonts w:cstheme="minorHAnsi"/>
        </w:rPr>
      </w:pPr>
    </w:p>
    <w:p w14:paraId="2CCBAF7E" w14:textId="1B533932" w:rsidR="00694FCA" w:rsidRDefault="00694FCA" w:rsidP="00694FCA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Other </w:t>
      </w:r>
      <w:r w:rsidR="009D5353">
        <w:rPr>
          <w:rFonts w:asciiTheme="minorHAnsi" w:hAnsiTheme="minorHAnsi" w:cstheme="minorHAnsi"/>
        </w:rPr>
        <w:t>Items</w:t>
      </w:r>
    </w:p>
    <w:p w14:paraId="5C9879F9" w14:textId="6A62766D" w:rsidR="009D5353" w:rsidRDefault="009D5353" w:rsidP="009D5353">
      <w:pPr>
        <w:pStyle w:val="Heading2"/>
      </w:pPr>
      <w:r>
        <w:t>TDD Pattern</w:t>
      </w:r>
    </w:p>
    <w:p w14:paraId="120EEEF3" w14:textId="39842923" w:rsidR="009D5353" w:rsidRDefault="009D5353" w:rsidP="009D5353">
      <w:pPr>
        <w:rPr>
          <w:lang w:val="en-GB"/>
        </w:rPr>
      </w:pPr>
      <w:r>
        <w:rPr>
          <w:lang w:val="en-GB"/>
        </w:rPr>
        <w:t xml:space="preserve">In the past meetings it was discussed whether to introduce requirements with TDD patterns specific for ATG devices. If new patterns that </w:t>
      </w:r>
      <w:r w:rsidR="00706DF5">
        <w:rPr>
          <w:lang w:val="en-GB"/>
        </w:rPr>
        <w:t xml:space="preserve">can be configured according to spec </w:t>
      </w:r>
      <w:r>
        <w:rPr>
          <w:lang w:val="en-GB"/>
        </w:rPr>
        <w:t>are pr</w:t>
      </w:r>
      <w:r w:rsidR="00706DF5">
        <w:rPr>
          <w:lang w:val="en-GB"/>
        </w:rPr>
        <w:t xml:space="preserve">oposed, RAN4 should consider them but it should be specified in the spec that those TDD patterns apply to ATG </w:t>
      </w:r>
      <w:proofErr w:type="gramStart"/>
      <w:r w:rsidR="00706DF5">
        <w:rPr>
          <w:lang w:val="en-GB"/>
        </w:rPr>
        <w:t>only</w:t>
      </w:r>
      <w:proofErr w:type="gramEnd"/>
    </w:p>
    <w:p w14:paraId="1C4533E6" w14:textId="77009170" w:rsidR="00706DF5" w:rsidRPr="00694FCA" w:rsidRDefault="00706DF5" w:rsidP="00706DF5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8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further consider using new TDD pattern specific for ATG.</w:t>
      </w:r>
      <w:r w:rsidRPr="00694FCA">
        <w:rPr>
          <w:rFonts w:eastAsia="Times New Roman" w:cstheme="minorHAnsi"/>
          <w:b/>
          <w:bCs/>
        </w:rPr>
        <w:t xml:space="preserve"> If a new TDD Pattern is introduced for ATG UEs, support adding a note that specifies that the pattern is for ATG scenario used only.</w:t>
      </w:r>
    </w:p>
    <w:p w14:paraId="716DCC58" w14:textId="2BCAFDB3" w:rsidR="00706DF5" w:rsidRDefault="005F4FD6" w:rsidP="005F4FD6">
      <w:pPr>
        <w:pStyle w:val="Heading2"/>
      </w:pPr>
      <w:r>
        <w:t>Channel Model</w:t>
      </w:r>
    </w:p>
    <w:p w14:paraId="72815016" w14:textId="77777777" w:rsidR="00567200" w:rsidRDefault="005F4FD6" w:rsidP="005F4FD6">
      <w:pPr>
        <w:rPr>
          <w:lang w:val="en-GB"/>
        </w:rPr>
      </w:pPr>
      <w:r>
        <w:rPr>
          <w:lang w:val="en-GB"/>
        </w:rPr>
        <w:t xml:space="preserve">In the previous meeting it has been agreed to consider a Single path channel with no fading and constant doppler shift. In our view </w:t>
      </w:r>
      <w:r w:rsidR="005F7619">
        <w:rPr>
          <w:lang w:val="en-GB"/>
        </w:rPr>
        <w:t xml:space="preserve">adding a constant doppler shift to model residual error after UE compensation </w:t>
      </w:r>
      <w:r w:rsidR="00567200">
        <w:rPr>
          <w:lang w:val="en-GB"/>
        </w:rPr>
        <w:t xml:space="preserve">is </w:t>
      </w:r>
      <w:r w:rsidR="00A26798">
        <w:rPr>
          <w:lang w:val="en-GB"/>
        </w:rPr>
        <w:t xml:space="preserve">not </w:t>
      </w:r>
      <w:r w:rsidR="00567200">
        <w:rPr>
          <w:lang w:val="en-GB"/>
        </w:rPr>
        <w:t xml:space="preserve">going to </w:t>
      </w:r>
      <w:r w:rsidR="00F05673">
        <w:rPr>
          <w:lang w:val="en-GB"/>
        </w:rPr>
        <w:t xml:space="preserve">adding anything to the coverage, because we should expect the constant shift to be corrected by the UE </w:t>
      </w:r>
      <w:r w:rsidR="00A26798">
        <w:rPr>
          <w:lang w:val="en-GB"/>
        </w:rPr>
        <w:t>as soon as frequency tracking information</w:t>
      </w:r>
      <w:r w:rsidR="00567200">
        <w:rPr>
          <w:lang w:val="en-GB"/>
        </w:rPr>
        <w:t xml:space="preserve"> is </w:t>
      </w:r>
      <w:proofErr w:type="gramStart"/>
      <w:r w:rsidR="00A26798">
        <w:rPr>
          <w:lang w:val="en-GB"/>
        </w:rPr>
        <w:t>available</w:t>
      </w:r>
      <w:r w:rsidR="00567200">
        <w:rPr>
          <w:lang w:val="en-GB"/>
        </w:rPr>
        <w:t>, and</w:t>
      </w:r>
      <w:proofErr w:type="gramEnd"/>
      <w:r w:rsidR="00567200">
        <w:rPr>
          <w:lang w:val="en-GB"/>
        </w:rPr>
        <w:t xml:space="preserve"> </w:t>
      </w:r>
      <w:r w:rsidR="00567200">
        <w:rPr>
          <w:lang w:val="en-GB"/>
        </w:rPr>
        <w:t xml:space="preserve">is only going to </w:t>
      </w:r>
      <w:r w:rsidR="00567200">
        <w:rPr>
          <w:lang w:val="en-GB"/>
        </w:rPr>
        <w:t xml:space="preserve">confuse </w:t>
      </w:r>
      <w:r w:rsidR="00567200">
        <w:rPr>
          <w:lang w:val="en-GB"/>
        </w:rPr>
        <w:t>the test setup</w:t>
      </w:r>
      <w:r w:rsidR="00567200">
        <w:rPr>
          <w:lang w:val="en-GB"/>
        </w:rPr>
        <w:t xml:space="preserve">. </w:t>
      </w:r>
    </w:p>
    <w:p w14:paraId="5C29EFC3" w14:textId="7A30F1A5" w:rsidR="005F4FD6" w:rsidRDefault="00567200" w:rsidP="005F4FD6">
      <w:pPr>
        <w:rPr>
          <w:lang w:val="en-GB"/>
        </w:rPr>
      </w:pPr>
      <w:r>
        <w:rPr>
          <w:lang w:val="en-GB"/>
        </w:rPr>
        <w:t>To that end, we propose to reuse the same approach that was followed for UE frequency pre-compensation in NTN demodulation requirement and assume perfect correction, without a constant doppler shift.</w:t>
      </w:r>
    </w:p>
    <w:p w14:paraId="21D37002" w14:textId="6A4C3C48" w:rsidR="00567200" w:rsidRPr="00694FCA" w:rsidRDefault="00567200" w:rsidP="00567200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9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RAN4 to assume error-free DL frequency shift pre-compensation for UE demodulation, and no Doppler shift assumed in the test;</w:t>
      </w:r>
    </w:p>
    <w:p w14:paraId="6662C8FF" w14:textId="7B38F959" w:rsidR="00A26798" w:rsidRDefault="004777EC" w:rsidP="004777EC">
      <w:pPr>
        <w:pStyle w:val="Heading2"/>
      </w:pPr>
      <w:r>
        <w:t xml:space="preserve">CBW </w:t>
      </w:r>
    </w:p>
    <w:p w14:paraId="011B7698" w14:textId="17172FEA" w:rsidR="004777EC" w:rsidRPr="004777EC" w:rsidRDefault="004777EC" w:rsidP="004777EC">
      <w:pPr>
        <w:rPr>
          <w:rFonts w:eastAsia="Times New Roman" w:cstheme="minorHAnsi"/>
        </w:rPr>
      </w:pPr>
      <w:r w:rsidRPr="004777EC">
        <w:rPr>
          <w:rFonts w:eastAsia="Times New Roman" w:cstheme="minorHAnsi"/>
        </w:rPr>
        <w:t xml:space="preserve">For </w:t>
      </w:r>
      <w:r>
        <w:rPr>
          <w:rFonts w:eastAsia="Times New Roman" w:cstheme="minorHAnsi"/>
        </w:rPr>
        <w:t xml:space="preserve">CBW, we </w:t>
      </w:r>
      <w:r w:rsidR="00BE7291">
        <w:rPr>
          <w:rFonts w:eastAsia="Times New Roman" w:cstheme="minorHAnsi"/>
        </w:rPr>
        <w:t xml:space="preserve">have not seen a motivation so far not to reuse the </w:t>
      </w:r>
      <w:r>
        <w:rPr>
          <w:rFonts w:eastAsia="Times New Roman" w:cstheme="minorHAnsi"/>
        </w:rPr>
        <w:t>same CBW as in legacy requirements</w:t>
      </w:r>
      <w:r w:rsidR="00BE7291">
        <w:rPr>
          <w:rFonts w:eastAsia="Times New Roman" w:cstheme="minorHAnsi"/>
        </w:rPr>
        <w:t>.</w:t>
      </w:r>
    </w:p>
    <w:p w14:paraId="3BB00E38" w14:textId="77B214D7" w:rsidR="004777EC" w:rsidRPr="00694FCA" w:rsidRDefault="004777EC" w:rsidP="004777EC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 w:rsidR="00164EED">
        <w:rPr>
          <w:rFonts w:eastAsia="Times New Roman" w:cstheme="minorHAnsi"/>
          <w:b/>
          <w:bCs/>
          <w:noProof/>
        </w:rPr>
        <w:t>10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RAN4 to use 10 MHz CBW for FDD, 40MHz CBW for TDD to keep alignment with legacy requirements;</w:t>
      </w:r>
    </w:p>
    <w:p w14:paraId="6FBCDE7B" w14:textId="77777777" w:rsidR="004777EC" w:rsidRPr="004777EC" w:rsidRDefault="004777EC" w:rsidP="004777EC"/>
    <w:p w14:paraId="5AE38621" w14:textId="56791C43" w:rsidR="00FB277C" w:rsidRPr="00694FCA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694FCA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694FCA">
        <w:rPr>
          <w:rFonts w:eastAsia="Times New Roman" w:cstheme="minorHAnsi"/>
          <w:sz w:val="36"/>
          <w:szCs w:val="20"/>
        </w:rPr>
        <w:t>s</w:t>
      </w:r>
      <w:bookmarkEnd w:id="0"/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Obs \h \r0 </w:instrTex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\h \r0</w:instrText>
      </w:r>
      <w:r w:rsidRPr="00694FCA">
        <w:rPr>
          <w:rFonts w:eastAsia="Times New Roman" w:cstheme="minorHAnsi"/>
          <w:b/>
          <w:bCs/>
        </w:rPr>
        <w:fldChar w:fldCharType="end"/>
      </w:r>
    </w:p>
    <w:p w14:paraId="7968F4A5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For the applicability of the ATG UE Demod requirements, follow ongoing discussion in RF on related ATG UE capabilities;</w:t>
      </w:r>
    </w:p>
    <w:p w14:paraId="4A7E4EA2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Observation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According to the WID, ATG UEs only connect to ground-based BS;</w:t>
      </w:r>
    </w:p>
    <w:p w14:paraId="6A9B7DE2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Based on Observation 1, RAN4 should not introduce applicability rules for between ATG and NTN UEs;</w:t>
      </w:r>
    </w:p>
    <w:p w14:paraId="6A39298E" w14:textId="77777777" w:rsidR="00164EED" w:rsidRDefault="00164EED" w:rsidP="00164EED"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 xml:space="preserve">:On the applicability of legacy PDSCH and PDCCH requirements, RAN4 should select only a </w:t>
      </w:r>
    </w:p>
    <w:p w14:paraId="2DFC205A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>subset of legacy requirements applicable to ATG UEs;</w:t>
      </w:r>
    </w:p>
    <w:p w14:paraId="3C71E886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lastRenderedPageBreak/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4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For legacy PDSCH Demod requirements applicable to ATG UEs, RAN4 to choose 1 test case per Modulation Order among the existing requirements for PDSCH Mapping Type A only, for FDD and TDD;</w:t>
      </w:r>
    </w:p>
    <w:p w14:paraId="78F22F9F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5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For legacy PDSCH Demod requirements applicable to ATG UEs, RAN4 should consider Single Carrier requirements only;</w:t>
      </w:r>
    </w:p>
    <w:p w14:paraId="7E19E9E2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6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For legacy PDCCH Demod requirements applicable to ATG UEs, RAN4 to choose 1 test case per TDD and 1 test case per FDD among the existing requirements;</w:t>
      </w:r>
    </w:p>
    <w:p w14:paraId="432E7E82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7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Do not test legacy CSI reporting requirements for ATG UEs;</w:t>
      </w:r>
    </w:p>
    <w:p w14:paraId="69B8215B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8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further consider using new TDD pattern specific for ATG.</w:t>
      </w:r>
      <w:r w:rsidRPr="00694FCA">
        <w:rPr>
          <w:rFonts w:eastAsia="Times New Roman" w:cstheme="minorHAnsi"/>
          <w:b/>
          <w:bCs/>
        </w:rPr>
        <w:t xml:space="preserve"> If a new TDD Pattern is introduced for ATG UEs, support adding a note that specifies that the pattern is for ATG scenario used only.</w:t>
      </w:r>
    </w:p>
    <w:p w14:paraId="57E4A1FC" w14:textId="77777777" w:rsidR="00164EED" w:rsidRPr="00694FCA" w:rsidRDefault="00164EED" w:rsidP="00164EED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9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RAN4 to assume error-free DL frequency shift pre-compensation for UE demodulation, and no Doppler shift assumed in the test;</w:t>
      </w:r>
    </w:p>
    <w:p w14:paraId="6E2D3866" w14:textId="01A7BEFB" w:rsidR="009A48F7" w:rsidRPr="00164EED" w:rsidRDefault="00164EED" w:rsidP="00750F15">
      <w:pPr>
        <w:rPr>
          <w:rFonts w:eastAsia="Times New Roman" w:cstheme="minorHAnsi"/>
          <w:b/>
          <w:bCs/>
        </w:rPr>
      </w:pPr>
      <w:r w:rsidRPr="00694FCA">
        <w:rPr>
          <w:rFonts w:eastAsia="Times New Roman" w:cstheme="minorHAnsi"/>
          <w:b/>
          <w:bCs/>
        </w:rPr>
        <w:t xml:space="preserve">Proposal </w:t>
      </w:r>
      <w:r w:rsidRPr="00694FCA">
        <w:rPr>
          <w:rFonts w:eastAsia="Times New Roman" w:cstheme="minorHAnsi"/>
          <w:b/>
          <w:bCs/>
        </w:rPr>
        <w:fldChar w:fldCharType="begin"/>
      </w:r>
      <w:r w:rsidRPr="00694FCA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694FCA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10</w:t>
      </w:r>
      <w:r w:rsidRPr="00694FCA">
        <w:rPr>
          <w:rFonts w:eastAsia="Times New Roman" w:cstheme="minorHAnsi"/>
          <w:b/>
          <w:bCs/>
        </w:rPr>
        <w:fldChar w:fldCharType="end"/>
      </w:r>
      <w:r w:rsidRPr="00694FCA">
        <w:rPr>
          <w:rFonts w:eastAsia="Times New Roman" w:cstheme="minorHAnsi"/>
          <w:b/>
          <w:bCs/>
        </w:rPr>
        <w:t>: RAN4 to use 10 MHz CBW for FDD, 40MHz CBW for TDD to keep alignment with legacy requirements;</w:t>
      </w:r>
    </w:p>
    <w:p w14:paraId="5A26938F" w14:textId="77777777" w:rsidR="00FB277C" w:rsidRPr="00694FCA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694FCA">
        <w:rPr>
          <w:rFonts w:eastAsia="Times New Roman" w:cstheme="minorHAnsi"/>
          <w:sz w:val="36"/>
          <w:szCs w:val="20"/>
        </w:rPr>
        <w:t>References</w:t>
      </w:r>
    </w:p>
    <w:p w14:paraId="423F66FC" w14:textId="63173729" w:rsidR="00F96785" w:rsidRPr="00694FCA" w:rsidRDefault="00F96785" w:rsidP="00F96785">
      <w:pPr>
        <w:rPr>
          <w:rFonts w:cstheme="minorHAnsi"/>
          <w:sz w:val="24"/>
          <w:szCs w:val="24"/>
        </w:rPr>
      </w:pPr>
      <w:r w:rsidRPr="00694FCA">
        <w:rPr>
          <w:rFonts w:cstheme="minorHAnsi"/>
          <w:sz w:val="24"/>
          <w:szCs w:val="24"/>
        </w:rPr>
        <w:t xml:space="preserve">[1] </w:t>
      </w:r>
      <w:r w:rsidR="00334B23" w:rsidRPr="00694FCA">
        <w:rPr>
          <w:rFonts w:cstheme="minorHAnsi"/>
          <w:sz w:val="24"/>
          <w:szCs w:val="24"/>
        </w:rPr>
        <w:t>R4-2305899</w:t>
      </w:r>
      <w:r w:rsidRPr="00694FCA">
        <w:rPr>
          <w:rFonts w:cstheme="minorHAnsi"/>
          <w:sz w:val="24"/>
          <w:szCs w:val="24"/>
        </w:rPr>
        <w:t xml:space="preserve">, 3GPP TSG-RAN WG4 Meeting #106bis-e, Online Meeting, 17th April- 26th </w:t>
      </w:r>
      <w:proofErr w:type="gramStart"/>
      <w:r w:rsidRPr="00694FCA">
        <w:rPr>
          <w:rFonts w:cstheme="minorHAnsi"/>
          <w:sz w:val="24"/>
          <w:szCs w:val="24"/>
        </w:rPr>
        <w:t>April,</w:t>
      </w:r>
      <w:proofErr w:type="gramEnd"/>
      <w:r w:rsidRPr="00694FCA">
        <w:rPr>
          <w:rFonts w:cstheme="minorHAnsi"/>
          <w:sz w:val="24"/>
          <w:szCs w:val="24"/>
        </w:rPr>
        <w:t xml:space="preserve"> 2023</w:t>
      </w:r>
    </w:p>
    <w:p w14:paraId="3D8EF989" w14:textId="72E9BE2C" w:rsidR="008F7905" w:rsidRPr="00694FCA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694FCA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762B9" w14:textId="77777777" w:rsidR="00502A72" w:rsidRDefault="00502A72">
      <w:pPr>
        <w:spacing w:after="0" w:line="240" w:lineRule="auto"/>
      </w:pPr>
      <w:r>
        <w:separator/>
      </w:r>
    </w:p>
  </w:endnote>
  <w:endnote w:type="continuationSeparator" w:id="0">
    <w:p w14:paraId="7C9EA31D" w14:textId="77777777" w:rsidR="00502A72" w:rsidRDefault="00502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8A5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8A52C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A6D68" w14:textId="77777777" w:rsidR="00502A72" w:rsidRDefault="00502A72">
      <w:pPr>
        <w:spacing w:after="0" w:line="240" w:lineRule="auto"/>
      </w:pPr>
      <w:r>
        <w:separator/>
      </w:r>
    </w:p>
  </w:footnote>
  <w:footnote w:type="continuationSeparator" w:id="0">
    <w:p w14:paraId="217EDF48" w14:textId="77777777" w:rsidR="00502A72" w:rsidRDefault="00502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46E87"/>
    <w:rsid w:val="000528DF"/>
    <w:rsid w:val="00052926"/>
    <w:rsid w:val="00052B72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565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211A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3277"/>
    <w:rsid w:val="00164EED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9730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45AC"/>
    <w:rsid w:val="002360DD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0A6"/>
    <w:rsid w:val="002D4938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711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4B23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B8B"/>
    <w:rsid w:val="003E44A2"/>
    <w:rsid w:val="003E5591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464E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699D"/>
    <w:rsid w:val="00477180"/>
    <w:rsid w:val="004776FE"/>
    <w:rsid w:val="004777EC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6B19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55A0"/>
    <w:rsid w:val="00517289"/>
    <w:rsid w:val="00517DC0"/>
    <w:rsid w:val="00520B70"/>
    <w:rsid w:val="00520F0F"/>
    <w:rsid w:val="00521ABD"/>
    <w:rsid w:val="00522B13"/>
    <w:rsid w:val="00526413"/>
    <w:rsid w:val="00526B27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200"/>
    <w:rsid w:val="0056768B"/>
    <w:rsid w:val="005676C6"/>
    <w:rsid w:val="00572A33"/>
    <w:rsid w:val="00572ADB"/>
    <w:rsid w:val="00573609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61B2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6639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620E"/>
    <w:rsid w:val="005F2C6E"/>
    <w:rsid w:val="005F32FC"/>
    <w:rsid w:val="005F4FD6"/>
    <w:rsid w:val="005F5737"/>
    <w:rsid w:val="005F7081"/>
    <w:rsid w:val="005F7619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03E5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4FCA"/>
    <w:rsid w:val="006977EB"/>
    <w:rsid w:val="006A0589"/>
    <w:rsid w:val="006A087D"/>
    <w:rsid w:val="006A09D6"/>
    <w:rsid w:val="006A13B2"/>
    <w:rsid w:val="006A359C"/>
    <w:rsid w:val="006A3BAA"/>
    <w:rsid w:val="006A5D4C"/>
    <w:rsid w:val="006A7D79"/>
    <w:rsid w:val="006B08B0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5D0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3C8"/>
    <w:rsid w:val="006F65A0"/>
    <w:rsid w:val="006F71B3"/>
    <w:rsid w:val="007028A9"/>
    <w:rsid w:val="00704B17"/>
    <w:rsid w:val="0070625B"/>
    <w:rsid w:val="00706C2A"/>
    <w:rsid w:val="00706DF5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7F2"/>
    <w:rsid w:val="00722148"/>
    <w:rsid w:val="00723063"/>
    <w:rsid w:val="007235E8"/>
    <w:rsid w:val="0072466B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0F15"/>
    <w:rsid w:val="00752F00"/>
    <w:rsid w:val="00753845"/>
    <w:rsid w:val="00753CB6"/>
    <w:rsid w:val="00753E9D"/>
    <w:rsid w:val="0075489A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1742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4AA6"/>
    <w:rsid w:val="008358EB"/>
    <w:rsid w:val="008362F0"/>
    <w:rsid w:val="00840CC7"/>
    <w:rsid w:val="008411BE"/>
    <w:rsid w:val="00841794"/>
    <w:rsid w:val="008456C1"/>
    <w:rsid w:val="00845FB9"/>
    <w:rsid w:val="008460A8"/>
    <w:rsid w:val="00847F59"/>
    <w:rsid w:val="0085210C"/>
    <w:rsid w:val="00852E02"/>
    <w:rsid w:val="00853230"/>
    <w:rsid w:val="00853ABF"/>
    <w:rsid w:val="00853F3D"/>
    <w:rsid w:val="00854DEF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363"/>
    <w:rsid w:val="008A3D55"/>
    <w:rsid w:val="008A52C0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48F7"/>
    <w:rsid w:val="009A5260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53"/>
    <w:rsid w:val="009C0DDE"/>
    <w:rsid w:val="009C11E5"/>
    <w:rsid w:val="009C2922"/>
    <w:rsid w:val="009C3364"/>
    <w:rsid w:val="009C5A9F"/>
    <w:rsid w:val="009C66AE"/>
    <w:rsid w:val="009D1341"/>
    <w:rsid w:val="009D262A"/>
    <w:rsid w:val="009D3DD7"/>
    <w:rsid w:val="009D5279"/>
    <w:rsid w:val="009D5353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19EB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2679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76C27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2E0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E7291"/>
    <w:rsid w:val="00BF0276"/>
    <w:rsid w:val="00BF0F99"/>
    <w:rsid w:val="00BF14D8"/>
    <w:rsid w:val="00BF1F51"/>
    <w:rsid w:val="00BF2FE9"/>
    <w:rsid w:val="00BF5FB4"/>
    <w:rsid w:val="00C002D1"/>
    <w:rsid w:val="00C0212C"/>
    <w:rsid w:val="00C02F3F"/>
    <w:rsid w:val="00C03D30"/>
    <w:rsid w:val="00C04D2C"/>
    <w:rsid w:val="00C069F1"/>
    <w:rsid w:val="00C06BD4"/>
    <w:rsid w:val="00C07C49"/>
    <w:rsid w:val="00C10891"/>
    <w:rsid w:val="00C12551"/>
    <w:rsid w:val="00C16845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39D2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3878"/>
    <w:rsid w:val="00CA4C17"/>
    <w:rsid w:val="00CA4DA1"/>
    <w:rsid w:val="00CA57A9"/>
    <w:rsid w:val="00CA5C6C"/>
    <w:rsid w:val="00CB067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320D"/>
    <w:rsid w:val="00DA35E8"/>
    <w:rsid w:val="00DA42B7"/>
    <w:rsid w:val="00DA715E"/>
    <w:rsid w:val="00DB179D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708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1097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B07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5FFD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409"/>
    <w:rsid w:val="00F04FD1"/>
    <w:rsid w:val="00F05673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0DC6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4462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6785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4719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7EC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415</cp:revision>
  <dcterms:created xsi:type="dcterms:W3CDTF">2022-04-25T17:38:00Z</dcterms:created>
  <dcterms:modified xsi:type="dcterms:W3CDTF">2023-05-15T20:57:00Z</dcterms:modified>
</cp:coreProperties>
</file>